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9F" w:rsidRPr="00DE4E10" w:rsidRDefault="00DD2BE9">
      <w:pPr>
        <w:jc w:val="both"/>
        <w:rPr>
          <w:b/>
          <w:bCs/>
        </w:rPr>
      </w:pPr>
      <w:bookmarkStart w:id="0" w:name="_GoBack"/>
      <w:bookmarkEnd w:id="0"/>
      <w:r>
        <w:rPr>
          <w:noProof/>
        </w:rPr>
        <w:drawing>
          <wp:inline distT="0" distB="0" distL="0" distR="0">
            <wp:extent cx="2512610" cy="887105"/>
            <wp:effectExtent l="0" t="0" r="2540" b="8255"/>
            <wp:docPr id="1073741827" name="officeArt object" descr="Logo Universität Hamburg mit dem Motto: der Forschung, der Lehre, der Bildung" title="Logo Universität Hamburg"/>
            <wp:cNvGraphicFramePr/>
            <a:graphic xmlns:a="http://schemas.openxmlformats.org/drawingml/2006/main">
              <a:graphicData uri="http://schemas.openxmlformats.org/drawingml/2006/picture">
                <pic:pic xmlns:pic="http://schemas.openxmlformats.org/drawingml/2006/picture">
                  <pic:nvPicPr>
                    <pic:cNvPr id="1073741827" name="image1.tif" descr="Logo_UHH_rgb.t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10" cy="887105"/>
                    </a:xfrm>
                    <a:prstGeom prst="rect">
                      <a:avLst/>
                    </a:prstGeom>
                    <a:ln w="12700" cap="flat">
                      <a:noFill/>
                      <a:miter lim="400000"/>
                    </a:ln>
                    <a:effectLst/>
                  </pic:spPr>
                </pic:pic>
              </a:graphicData>
            </a:graphic>
          </wp:inline>
        </w:drawing>
      </w:r>
    </w:p>
    <w:p w:rsidR="00290F7A" w:rsidRDefault="00290F7A" w:rsidP="00DD2BE9">
      <w:pPr>
        <w:tabs>
          <w:tab w:val="left" w:pos="993"/>
        </w:tabs>
        <w:spacing w:after="0"/>
        <w:rPr>
          <w:sz w:val="18"/>
          <w:szCs w:val="18"/>
          <w:lang w:val="en-GB"/>
        </w:rPr>
      </w:pPr>
    </w:p>
    <w:p w:rsidR="0006769F" w:rsidRPr="00E028B8" w:rsidRDefault="00E4694E" w:rsidP="00DD2BE9">
      <w:pPr>
        <w:tabs>
          <w:tab w:val="left" w:pos="993"/>
        </w:tabs>
        <w:spacing w:after="0"/>
        <w:rPr>
          <w:sz w:val="18"/>
          <w:szCs w:val="18"/>
          <w:lang w:val="en-GB"/>
        </w:rPr>
      </w:pPr>
      <w:r w:rsidRPr="00E028B8">
        <w:rPr>
          <w:sz w:val="18"/>
          <w:szCs w:val="18"/>
          <w:lang w:val="en-GB"/>
        </w:rPr>
        <w:t>03</w:t>
      </w:r>
      <w:r w:rsidR="00E75757" w:rsidRPr="00E028B8">
        <w:rPr>
          <w:sz w:val="18"/>
          <w:szCs w:val="18"/>
          <w:lang w:val="en-GB"/>
        </w:rPr>
        <w:t>.0</w:t>
      </w:r>
      <w:r w:rsidRPr="00E028B8">
        <w:rPr>
          <w:sz w:val="18"/>
          <w:szCs w:val="18"/>
          <w:lang w:val="en-GB"/>
        </w:rPr>
        <w:t>3</w:t>
      </w:r>
      <w:r w:rsidR="00E75757" w:rsidRPr="00E028B8">
        <w:rPr>
          <w:sz w:val="18"/>
          <w:szCs w:val="18"/>
          <w:lang w:val="en-GB"/>
        </w:rPr>
        <w:t>.2021</w:t>
      </w:r>
    </w:p>
    <w:p w:rsidR="0006769F" w:rsidRPr="00E028B8" w:rsidRDefault="00E75757" w:rsidP="00DD2BE9">
      <w:pPr>
        <w:tabs>
          <w:tab w:val="left" w:pos="993"/>
        </w:tabs>
        <w:spacing w:after="0"/>
        <w:rPr>
          <w:sz w:val="18"/>
          <w:szCs w:val="18"/>
          <w:lang w:val="en-GB"/>
        </w:rPr>
      </w:pPr>
      <w:r w:rsidRPr="00E028B8">
        <w:rPr>
          <w:sz w:val="18"/>
          <w:szCs w:val="18"/>
          <w:lang w:val="en-GB"/>
        </w:rPr>
        <w:t>[Summer School 2021</w:t>
      </w:r>
      <w:r w:rsidR="003B70BE" w:rsidRPr="00E028B8">
        <w:rPr>
          <w:sz w:val="18"/>
          <w:szCs w:val="18"/>
          <w:lang w:val="en-GB"/>
        </w:rPr>
        <w:t>:</w:t>
      </w:r>
      <w:r w:rsidR="00666E91" w:rsidRPr="00E028B8">
        <w:rPr>
          <w:sz w:val="18"/>
          <w:szCs w:val="18"/>
          <w:lang w:val="en-GB"/>
        </w:rPr>
        <w:t xml:space="preserve"> </w:t>
      </w:r>
      <w:r w:rsidR="00E4694E" w:rsidRPr="00E028B8">
        <w:rPr>
          <w:sz w:val="18"/>
          <w:szCs w:val="18"/>
          <w:lang w:val="en-GB"/>
        </w:rPr>
        <w:t>Language</w:t>
      </w:r>
      <w:r w:rsidR="00666E91" w:rsidRPr="00E028B8">
        <w:rPr>
          <w:sz w:val="18"/>
          <w:szCs w:val="18"/>
          <w:lang w:val="en-GB"/>
        </w:rPr>
        <w:t xml:space="preserve"> </w:t>
      </w:r>
      <w:r w:rsidR="00E4694E" w:rsidRPr="00E028B8">
        <w:rPr>
          <w:sz w:val="18"/>
          <w:szCs w:val="18"/>
          <w:lang w:val="en-GB"/>
        </w:rPr>
        <w:t>Diversity</w:t>
      </w:r>
      <w:r w:rsidR="008F1413" w:rsidRPr="00E028B8">
        <w:rPr>
          <w:sz w:val="18"/>
          <w:szCs w:val="18"/>
          <w:lang w:val="en-GB"/>
        </w:rPr>
        <w:t>]</w:t>
      </w:r>
    </w:p>
    <w:p w:rsidR="00717FEE" w:rsidRPr="00E028B8" w:rsidRDefault="00C0693C" w:rsidP="00DD2BE9">
      <w:pPr>
        <w:tabs>
          <w:tab w:val="left" w:pos="993"/>
        </w:tabs>
        <w:spacing w:after="0"/>
        <w:rPr>
          <w:sz w:val="18"/>
          <w:szCs w:val="18"/>
          <w:lang w:val="en-GB"/>
        </w:rPr>
      </w:pPr>
      <w:r>
        <w:rPr>
          <w:sz w:val="18"/>
          <w:szCs w:val="18"/>
          <w:lang w:val="en-GB"/>
        </w:rPr>
        <w:t>[Module 2</w:t>
      </w:r>
      <w:r w:rsidR="00717FEE" w:rsidRPr="00E028B8">
        <w:rPr>
          <w:sz w:val="18"/>
          <w:szCs w:val="18"/>
          <w:lang w:val="en-GB"/>
        </w:rPr>
        <w:t>]</w:t>
      </w:r>
    </w:p>
    <w:p w:rsidR="003B70BE" w:rsidRPr="00E028B8" w:rsidRDefault="008F1413" w:rsidP="00DD2BE9">
      <w:pPr>
        <w:spacing w:after="0"/>
        <w:rPr>
          <w:lang w:val="en-GB"/>
        </w:rPr>
      </w:pPr>
      <w:r w:rsidRPr="00E028B8">
        <w:rPr>
          <w:sz w:val="18"/>
          <w:szCs w:val="18"/>
          <w:lang w:val="en-GB"/>
        </w:rPr>
        <w:t>[</w:t>
      </w:r>
      <w:r w:rsidR="00717FEE" w:rsidRPr="00E028B8">
        <w:rPr>
          <w:sz w:val="18"/>
          <w:szCs w:val="18"/>
          <w:lang w:val="en-GB"/>
        </w:rPr>
        <w:t>Course</w:t>
      </w:r>
      <w:r w:rsidR="00034277" w:rsidRPr="00E028B8">
        <w:rPr>
          <w:sz w:val="18"/>
          <w:szCs w:val="18"/>
          <w:lang w:val="en-GB"/>
        </w:rPr>
        <w:t xml:space="preserve"> 1</w:t>
      </w:r>
      <w:r w:rsidR="003B70BE" w:rsidRPr="00E028B8">
        <w:rPr>
          <w:sz w:val="18"/>
          <w:szCs w:val="18"/>
          <w:lang w:val="en-GB"/>
        </w:rPr>
        <w:t>:</w:t>
      </w:r>
      <w:r w:rsidR="00666E91" w:rsidRPr="00E028B8">
        <w:rPr>
          <w:sz w:val="18"/>
          <w:szCs w:val="18"/>
          <w:lang w:val="en-GB"/>
        </w:rPr>
        <w:t xml:space="preserve"> </w:t>
      </w:r>
      <w:r w:rsidR="00C0693C">
        <w:rPr>
          <w:sz w:val="18"/>
          <w:szCs w:val="18"/>
          <w:lang w:val="en-US"/>
        </w:rPr>
        <w:t>Language Development and Education in multilingual Settings</w:t>
      </w:r>
      <w:r w:rsidRPr="00E028B8">
        <w:rPr>
          <w:sz w:val="18"/>
          <w:szCs w:val="18"/>
          <w:lang w:val="en-GB"/>
        </w:rPr>
        <w:t>]</w:t>
      </w:r>
      <w:r w:rsidR="003B70BE" w:rsidRPr="00E028B8">
        <w:rPr>
          <w:sz w:val="18"/>
          <w:szCs w:val="18"/>
          <w:lang w:val="en-GB"/>
        </w:rPr>
        <w:t xml:space="preserve"> </w:t>
      </w:r>
    </w:p>
    <w:p w:rsidR="003B70BE" w:rsidRPr="00E028B8" w:rsidRDefault="003B70BE" w:rsidP="00DD2BE9">
      <w:pPr>
        <w:tabs>
          <w:tab w:val="left" w:pos="993"/>
        </w:tabs>
        <w:spacing w:after="0"/>
        <w:rPr>
          <w:sz w:val="18"/>
          <w:szCs w:val="18"/>
          <w:lang w:val="en-GB"/>
        </w:rPr>
      </w:pPr>
      <w:r w:rsidRPr="00E028B8">
        <w:rPr>
          <w:sz w:val="18"/>
          <w:szCs w:val="18"/>
          <w:lang w:val="en-GB"/>
        </w:rPr>
        <w:t>[Course description]</w:t>
      </w:r>
    </w:p>
    <w:p w:rsidR="0006769F" w:rsidRDefault="0006769F" w:rsidP="00DD2BE9">
      <w:pPr>
        <w:tabs>
          <w:tab w:val="left" w:pos="993"/>
        </w:tabs>
        <w:spacing w:after="0"/>
        <w:rPr>
          <w:sz w:val="18"/>
          <w:szCs w:val="18"/>
          <w:lang w:val="en-GB"/>
        </w:rPr>
      </w:pPr>
    </w:p>
    <w:p w:rsidR="002B597A" w:rsidRPr="00E028B8" w:rsidRDefault="002B597A" w:rsidP="00DD2BE9">
      <w:pPr>
        <w:tabs>
          <w:tab w:val="left" w:pos="993"/>
        </w:tabs>
        <w:spacing w:after="0"/>
        <w:rPr>
          <w:sz w:val="18"/>
          <w:szCs w:val="18"/>
          <w:lang w:val="en-GB"/>
        </w:rPr>
      </w:pPr>
    </w:p>
    <w:p w:rsidR="00BD41FE" w:rsidRPr="00C0693C" w:rsidRDefault="00DD2BE9" w:rsidP="00DD2BE9">
      <w:pPr>
        <w:rPr>
          <w:rStyle w:val="Fett"/>
          <w:lang w:val="en-US"/>
        </w:rPr>
      </w:pPr>
      <w:r w:rsidRPr="00C0693C">
        <w:rPr>
          <w:rStyle w:val="Fett"/>
          <w:lang w:val="en-US"/>
        </w:rPr>
        <w:t xml:space="preserve">Title: </w:t>
      </w:r>
      <w:r w:rsidR="00C0693C" w:rsidRPr="00C0693C">
        <w:rPr>
          <w:rStyle w:val="Fett"/>
          <w:lang w:val="en-US"/>
        </w:rPr>
        <w:t>Language Development and Education in multilingual Settings</w:t>
      </w:r>
    </w:p>
    <w:p w:rsidR="00BD41FE" w:rsidRPr="00C0693C" w:rsidRDefault="00DD2BE9" w:rsidP="00516ED9">
      <w:pPr>
        <w:spacing w:line="276" w:lineRule="auto"/>
        <w:rPr>
          <w:lang w:val="en-US"/>
        </w:rPr>
      </w:pPr>
      <w:r w:rsidRPr="00C0693C">
        <w:rPr>
          <w:lang w:val="en-US"/>
        </w:rPr>
        <w:t xml:space="preserve">Lecturer: </w:t>
      </w:r>
      <w:r w:rsidR="00C0693C" w:rsidRPr="00C0693C">
        <w:rPr>
          <w:lang w:val="en-US"/>
        </w:rPr>
        <w:t xml:space="preserve">Prof. Dr. Ingrid </w:t>
      </w:r>
      <w:proofErr w:type="spellStart"/>
      <w:r w:rsidR="00C0693C" w:rsidRPr="00C0693C">
        <w:rPr>
          <w:lang w:val="en-US"/>
        </w:rPr>
        <w:t>Gogolin</w:t>
      </w:r>
      <w:proofErr w:type="spellEnd"/>
      <w:r w:rsidR="00C0693C" w:rsidRPr="00C0693C">
        <w:rPr>
          <w:lang w:val="en-US"/>
        </w:rPr>
        <w:t xml:space="preserve">, Prof. Dr. Silvia </w:t>
      </w:r>
      <w:proofErr w:type="spellStart"/>
      <w:r w:rsidR="00C0693C" w:rsidRPr="00C0693C">
        <w:rPr>
          <w:lang w:val="en-US"/>
        </w:rPr>
        <w:t>Melo</w:t>
      </w:r>
      <w:proofErr w:type="spellEnd"/>
      <w:r w:rsidR="00C0693C" w:rsidRPr="00C0693C">
        <w:rPr>
          <w:lang w:val="en-US"/>
        </w:rPr>
        <w:t xml:space="preserve">-Pfeifer, Prof. Dr. </w:t>
      </w:r>
      <w:proofErr w:type="spellStart"/>
      <w:r w:rsidR="00C0693C" w:rsidRPr="00C0693C">
        <w:rPr>
          <w:lang w:val="en-US"/>
        </w:rPr>
        <w:t>Drorit</w:t>
      </w:r>
      <w:proofErr w:type="spellEnd"/>
      <w:r w:rsidR="00C0693C" w:rsidRPr="00C0693C">
        <w:rPr>
          <w:lang w:val="en-US"/>
        </w:rPr>
        <w:t xml:space="preserve"> </w:t>
      </w:r>
      <w:proofErr w:type="spellStart"/>
      <w:r w:rsidR="00C0693C" w:rsidRPr="00C0693C">
        <w:rPr>
          <w:lang w:val="en-US"/>
        </w:rPr>
        <w:t>Lengyel</w:t>
      </w:r>
      <w:proofErr w:type="spellEnd"/>
      <w:r w:rsidR="00C0693C" w:rsidRPr="00C0693C">
        <w:rPr>
          <w:lang w:val="en-US"/>
        </w:rPr>
        <w:t xml:space="preserve">, Prof. Dr </w:t>
      </w:r>
      <w:proofErr w:type="spellStart"/>
      <w:r w:rsidR="00C0693C" w:rsidRPr="00C0693C">
        <w:rPr>
          <w:lang w:val="en-US"/>
        </w:rPr>
        <w:t>Anke</w:t>
      </w:r>
      <w:proofErr w:type="spellEnd"/>
      <w:r w:rsidR="00C0693C" w:rsidRPr="00C0693C">
        <w:rPr>
          <w:lang w:val="en-US"/>
        </w:rPr>
        <w:t xml:space="preserve"> </w:t>
      </w:r>
      <w:proofErr w:type="spellStart"/>
      <w:r w:rsidR="00C0693C" w:rsidRPr="00C0693C">
        <w:rPr>
          <w:lang w:val="en-US"/>
        </w:rPr>
        <w:t>Grotlüschen</w:t>
      </w:r>
      <w:proofErr w:type="spellEnd"/>
      <w:r w:rsidR="00C0693C" w:rsidRPr="00C0693C">
        <w:rPr>
          <w:lang w:val="en-US"/>
        </w:rPr>
        <w:t xml:space="preserve">, Prof. Dr. </w:t>
      </w:r>
      <w:proofErr w:type="spellStart"/>
      <w:r w:rsidR="00C0693C" w:rsidRPr="00C0693C">
        <w:rPr>
          <w:lang w:val="en-US"/>
        </w:rPr>
        <w:t>Dietmar</w:t>
      </w:r>
      <w:proofErr w:type="spellEnd"/>
      <w:r w:rsidR="00C0693C" w:rsidRPr="00C0693C">
        <w:rPr>
          <w:lang w:val="en-US"/>
        </w:rPr>
        <w:t xml:space="preserve"> </w:t>
      </w:r>
      <w:proofErr w:type="spellStart"/>
      <w:r w:rsidR="00C0693C" w:rsidRPr="00C0693C">
        <w:rPr>
          <w:lang w:val="en-US"/>
        </w:rPr>
        <w:t>Höttecke</w:t>
      </w:r>
      <w:proofErr w:type="spellEnd"/>
      <w:r w:rsidR="00C0693C" w:rsidRPr="00C0693C">
        <w:rPr>
          <w:lang w:val="en-US"/>
        </w:rPr>
        <w:t xml:space="preserve">, </w:t>
      </w:r>
      <w:proofErr w:type="spellStart"/>
      <w:r w:rsidR="00C0693C" w:rsidRPr="00C0693C">
        <w:rPr>
          <w:iCs/>
          <w:lang w:val="en-US"/>
        </w:rPr>
        <w:t>Timo</w:t>
      </w:r>
      <w:proofErr w:type="spellEnd"/>
      <w:r w:rsidR="00C0693C" w:rsidRPr="00C0693C">
        <w:rPr>
          <w:iCs/>
          <w:lang w:val="en-US"/>
        </w:rPr>
        <w:t xml:space="preserve"> </w:t>
      </w:r>
      <w:proofErr w:type="spellStart"/>
      <w:r w:rsidR="00C0693C" w:rsidRPr="00C0693C">
        <w:rPr>
          <w:iCs/>
          <w:lang w:val="en-US"/>
        </w:rPr>
        <w:t>Hackemann</w:t>
      </w:r>
      <w:proofErr w:type="spellEnd"/>
      <w:r w:rsidR="00C0693C" w:rsidRPr="00C0693C">
        <w:rPr>
          <w:iCs/>
          <w:lang w:val="en-US"/>
        </w:rPr>
        <w:t xml:space="preserve">, Carina von der </w:t>
      </w:r>
      <w:proofErr w:type="spellStart"/>
      <w:r w:rsidR="00C0693C" w:rsidRPr="00C0693C">
        <w:rPr>
          <w:iCs/>
          <w:lang w:val="en-US"/>
        </w:rPr>
        <w:t>Geest</w:t>
      </w:r>
      <w:proofErr w:type="spellEnd"/>
      <w:r w:rsidR="00C0693C" w:rsidRPr="00C0693C">
        <w:rPr>
          <w:iCs/>
          <w:lang w:val="en-US"/>
        </w:rPr>
        <w:t xml:space="preserve">, </w:t>
      </w:r>
      <w:proofErr w:type="spellStart"/>
      <w:r w:rsidR="00C0693C" w:rsidRPr="00C0693C">
        <w:rPr>
          <w:iCs/>
          <w:lang w:val="en-US"/>
        </w:rPr>
        <w:t>Nadeszda</w:t>
      </w:r>
      <w:proofErr w:type="spellEnd"/>
      <w:r w:rsidR="00C0693C" w:rsidRPr="00C0693C">
        <w:rPr>
          <w:iCs/>
          <w:lang w:val="en-US"/>
        </w:rPr>
        <w:t xml:space="preserve"> Strunk,</w:t>
      </w:r>
      <w:r w:rsidR="00C0693C" w:rsidRPr="00C0693C">
        <w:rPr>
          <w:lang w:val="en-US"/>
        </w:rPr>
        <w:t xml:space="preserve"> Dr. Irina </w:t>
      </w:r>
      <w:proofErr w:type="spellStart"/>
      <w:r w:rsidR="00C0693C" w:rsidRPr="00C0693C">
        <w:rPr>
          <w:lang w:val="en-US"/>
        </w:rPr>
        <w:t>Usanova</w:t>
      </w:r>
      <w:proofErr w:type="spellEnd"/>
      <w:r w:rsidR="00C0693C" w:rsidRPr="00C0693C">
        <w:rPr>
          <w:lang w:val="en-US"/>
        </w:rPr>
        <w:t xml:space="preserve">, Dr. Birger </w:t>
      </w:r>
      <w:proofErr w:type="spellStart"/>
      <w:r w:rsidR="00C0693C" w:rsidRPr="00C0693C">
        <w:rPr>
          <w:lang w:val="en-US"/>
        </w:rPr>
        <w:t>Schnoor</w:t>
      </w:r>
      <w:proofErr w:type="spellEnd"/>
      <w:r w:rsidR="00C0693C" w:rsidRPr="00C0693C">
        <w:rPr>
          <w:lang w:val="en-US"/>
        </w:rPr>
        <w:t xml:space="preserve"> (</w:t>
      </w:r>
      <w:proofErr w:type="spellStart"/>
      <w:r w:rsidR="00C0693C" w:rsidRPr="00C0693C">
        <w:rPr>
          <w:lang w:val="en-US"/>
        </w:rPr>
        <w:t>Universität</w:t>
      </w:r>
      <w:proofErr w:type="spellEnd"/>
      <w:r w:rsidR="00C0693C" w:rsidRPr="00C0693C">
        <w:rPr>
          <w:lang w:val="en-US"/>
        </w:rPr>
        <w:t xml:space="preserve"> Hamburg); Prof. Dr. </w:t>
      </w:r>
      <w:proofErr w:type="spellStart"/>
      <w:r w:rsidR="00C0693C" w:rsidRPr="00C0693C">
        <w:rPr>
          <w:lang w:val="en-US"/>
        </w:rPr>
        <w:t>Adelheid</w:t>
      </w:r>
      <w:proofErr w:type="spellEnd"/>
      <w:r w:rsidR="00C0693C" w:rsidRPr="00C0693C">
        <w:rPr>
          <w:lang w:val="en-US"/>
        </w:rPr>
        <w:t xml:space="preserve"> Hu, Prof. Claudine Kirsch (</w:t>
      </w:r>
      <w:proofErr w:type="spellStart"/>
      <w:r w:rsidR="00C0693C" w:rsidRPr="00C0693C">
        <w:rPr>
          <w:lang w:val="en-US"/>
        </w:rPr>
        <w:t>Université</w:t>
      </w:r>
      <w:proofErr w:type="spellEnd"/>
      <w:r w:rsidR="00C0693C" w:rsidRPr="00C0693C">
        <w:rPr>
          <w:lang w:val="en-US"/>
        </w:rPr>
        <w:t xml:space="preserve"> du Luxemburg); Prof. Dr. Josh Prada (Indiana University)</w:t>
      </w:r>
    </w:p>
    <w:p w:rsidR="00BD41FE" w:rsidRDefault="00DD2BE9" w:rsidP="00DD2BE9">
      <w:pPr>
        <w:rPr>
          <w:lang w:val="en-GB"/>
        </w:rPr>
      </w:pPr>
      <w:r w:rsidRPr="00E028B8">
        <w:rPr>
          <w:lang w:val="en-GB"/>
        </w:rPr>
        <w:t>Cour</w:t>
      </w:r>
      <w:r w:rsidR="00C0693C">
        <w:rPr>
          <w:lang w:val="en-GB"/>
        </w:rPr>
        <w:t>se duration in academic hours: 30</w:t>
      </w:r>
      <w:r w:rsidRPr="00E028B8">
        <w:rPr>
          <w:lang w:val="en-GB"/>
        </w:rPr>
        <w:t xml:space="preserve"> hrs</w:t>
      </w:r>
    </w:p>
    <w:p w:rsidR="00DD2BE9" w:rsidRPr="00E028B8" w:rsidRDefault="00DD2BE9" w:rsidP="00DD2BE9">
      <w:pPr>
        <w:rPr>
          <w:rStyle w:val="Fett"/>
          <w:lang w:val="en-GB"/>
        </w:rPr>
      </w:pPr>
      <w:r w:rsidRPr="00E028B8">
        <w:rPr>
          <w:lang w:val="en-GB"/>
        </w:rPr>
        <w:t xml:space="preserve">Credits (ECTS): </w:t>
      </w:r>
      <w:r w:rsidR="00C0693C">
        <w:rPr>
          <w:lang w:val="en-GB"/>
        </w:rPr>
        <w:t>2</w:t>
      </w:r>
      <w:proofErr w:type="gramStart"/>
      <w:r w:rsidR="00C0693C">
        <w:rPr>
          <w:lang w:val="en-GB"/>
        </w:rPr>
        <w:t>,</w:t>
      </w:r>
      <w:r w:rsidRPr="00E028B8">
        <w:rPr>
          <w:lang w:val="en-GB"/>
        </w:rPr>
        <w:t>5</w:t>
      </w:r>
      <w:proofErr w:type="gramEnd"/>
    </w:p>
    <w:p w:rsidR="0006769F" w:rsidRPr="00E028B8" w:rsidRDefault="0006769F" w:rsidP="00DD2BE9">
      <w:pPr>
        <w:widowControl w:val="0"/>
        <w:spacing w:after="100"/>
        <w:rPr>
          <w:lang w:val="en-GB"/>
        </w:rPr>
      </w:pPr>
    </w:p>
    <w:p w:rsidR="0006769F" w:rsidRPr="00E028B8" w:rsidRDefault="0006769F" w:rsidP="00DD2BE9">
      <w:pPr>
        <w:spacing w:after="100" w:line="276" w:lineRule="auto"/>
        <w:rPr>
          <w:lang w:val="en-GB"/>
        </w:rPr>
      </w:pPr>
    </w:p>
    <w:p w:rsidR="0006769F" w:rsidRPr="00E028B8" w:rsidRDefault="003B70BE" w:rsidP="00DD2BE9">
      <w:pPr>
        <w:spacing w:after="100" w:line="276" w:lineRule="auto"/>
        <w:rPr>
          <w:lang w:val="en-GB"/>
        </w:rPr>
      </w:pPr>
      <w:r w:rsidRPr="00E028B8">
        <w:rPr>
          <w:lang w:val="en-GB"/>
        </w:rPr>
        <w:t>Course</w:t>
      </w:r>
      <w:r w:rsidR="008F1413" w:rsidRPr="00E028B8">
        <w:rPr>
          <w:lang w:val="en-GB"/>
        </w:rPr>
        <w:t xml:space="preserve"> description</w:t>
      </w:r>
      <w:r w:rsidR="00B7315D">
        <w:rPr>
          <w:lang w:val="en-GB"/>
        </w:rPr>
        <w:t>:</w:t>
      </w:r>
    </w:p>
    <w:p w:rsidR="00DD2BE9" w:rsidRDefault="0078779E" w:rsidP="00DD2BE9">
      <w:pPr>
        <w:spacing w:after="100" w:line="276" w:lineRule="auto"/>
        <w:rPr>
          <w:lang w:val="en-GB"/>
        </w:rPr>
      </w:pPr>
      <w:r w:rsidRPr="00DF03E1">
        <w:rPr>
          <w:lang w:val="en-GB"/>
        </w:rPr>
        <w:t>The aim of the module is to familiarize participants with research on language development and language education in multilingual contexts from childhood to adulthood. As part of this module you will get to know (a) methodologies for the assessment of multilingual competences in different age groups, from elementary to tertiary &amp; adult education; (b) large scale-research with a focus on longitudinal observations of multilingual development in secondary schools (www.mez.uni-hamburg.de); (c) cross sectional studies on adult literacy and the problem of functional illiteracy; (d) in depth-studies on individual multilingual development in school subjects (using the example of physics education and foreign language education). The module will be based on lectures on the different research approaches and projects. The course work will consist of reading assignments, group work</w:t>
      </w:r>
      <w:r w:rsidRPr="0078779E">
        <w:rPr>
          <w:lang w:val="en-GB"/>
        </w:rPr>
        <w:t xml:space="preserve"> </w:t>
      </w:r>
      <w:r w:rsidRPr="00DF03E1">
        <w:rPr>
          <w:lang w:val="en-GB"/>
        </w:rPr>
        <w:t>and either an essay or the development of a research task of your choice, to be presented and discussed in a virtual format.</w:t>
      </w:r>
    </w:p>
    <w:p w:rsidR="00E028B8" w:rsidRPr="00E028B8" w:rsidRDefault="00E028B8" w:rsidP="00DD2BE9">
      <w:pPr>
        <w:spacing w:after="100" w:line="276" w:lineRule="auto"/>
        <w:rPr>
          <w:lang w:val="en-GB"/>
        </w:rPr>
      </w:pPr>
    </w:p>
    <w:p w:rsidR="00523532" w:rsidRPr="00E028B8" w:rsidRDefault="00C34910" w:rsidP="00C20B04">
      <w:pPr>
        <w:widowControl w:val="0"/>
        <w:spacing w:after="600"/>
        <w:rPr>
          <w:lang w:val="en-GB"/>
        </w:rPr>
      </w:pPr>
      <w:r w:rsidRPr="00E028B8">
        <w:rPr>
          <w:lang w:val="en-GB"/>
        </w:rPr>
        <w:t>N</w:t>
      </w:r>
      <w:r w:rsidR="003F7C47" w:rsidRPr="00E028B8">
        <w:rPr>
          <w:lang w:val="en-GB"/>
        </w:rPr>
        <w:t xml:space="preserve">otice: </w:t>
      </w:r>
      <w:r w:rsidR="004A294A" w:rsidRPr="00E028B8">
        <w:rPr>
          <w:lang w:val="en-GB"/>
        </w:rPr>
        <w:t>The</w:t>
      </w:r>
      <w:r w:rsidR="003F7C47" w:rsidRPr="00E028B8">
        <w:rPr>
          <w:lang w:val="en-GB"/>
        </w:rPr>
        <w:t xml:space="preserve"> program is subject to change. </w:t>
      </w:r>
    </w:p>
    <w:p w:rsidR="00DD2BE9" w:rsidRPr="00DD2BE9" w:rsidRDefault="00DD2BE9" w:rsidP="00DD2BE9">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932"/>
        </w:tabs>
        <w:spacing w:after="240"/>
        <w:rPr>
          <w:noProof/>
          <w:sz w:val="18"/>
          <w:szCs w:val="18"/>
        </w:rPr>
      </w:pPr>
      <w:r w:rsidRPr="00E028B8">
        <w:rPr>
          <w:noProof/>
          <w:sz w:val="18"/>
          <w:szCs w:val="18"/>
          <w:lang w:val="en-GB"/>
        </w:rPr>
        <w:t>In cooperation with:</w:t>
      </w:r>
    </w:p>
    <w:p w:rsidR="00DD2BE9" w:rsidRPr="00DE4E10" w:rsidRDefault="00DD2BE9" w:rsidP="00717FEE">
      <w:pPr>
        <w:widowControl w:val="0"/>
        <w:spacing w:after="100"/>
        <w:jc w:val="both"/>
        <w:rPr>
          <w:lang w:val="en-US"/>
        </w:rPr>
      </w:pPr>
      <w:r>
        <w:rPr>
          <w:noProof/>
        </w:rPr>
        <w:drawing>
          <wp:inline distT="0" distB="0" distL="0" distR="0" wp14:anchorId="26D6865E" wp14:editId="0EED7EF8">
            <wp:extent cx="1874863" cy="565150"/>
            <wp:effectExtent l="0" t="0" r="0" b="6350"/>
            <wp:docPr id="1" name="Grafik 1" descr="Logo Macquarie University: Sydney. Australia" title="Logo Macquari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quarie.png"/>
                    <pic:cNvPicPr/>
                  </pic:nvPicPr>
                  <pic:blipFill>
                    <a:blip r:embed="rId8">
                      <a:extLst>
                        <a:ext uri="{28A0092B-C50C-407E-A947-70E740481C1C}">
                          <a14:useLocalDpi xmlns:a14="http://schemas.microsoft.com/office/drawing/2010/main" val="0"/>
                        </a:ext>
                      </a:extLst>
                    </a:blip>
                    <a:stretch>
                      <a:fillRect/>
                    </a:stretch>
                  </pic:blipFill>
                  <pic:spPr>
                    <a:xfrm>
                      <a:off x="0" y="0"/>
                      <a:ext cx="1874863" cy="565150"/>
                    </a:xfrm>
                    <a:prstGeom prst="rect">
                      <a:avLst/>
                    </a:prstGeom>
                  </pic:spPr>
                </pic:pic>
              </a:graphicData>
            </a:graphic>
          </wp:inline>
        </w:drawing>
      </w:r>
      <w:r w:rsidR="00262867">
        <w:rPr>
          <w:lang w:val="en-US"/>
        </w:rPr>
        <w:t xml:space="preserve">                      </w:t>
      </w:r>
      <w:r w:rsidR="00262867">
        <w:rPr>
          <w:noProof/>
        </w:rPr>
        <w:drawing>
          <wp:inline distT="0" distB="0" distL="0" distR="0" wp14:anchorId="3DBCDD27" wp14:editId="117CE6B4">
            <wp:extent cx="597535" cy="615950"/>
            <wp:effectExtent l="0" t="0" r="0" b="0"/>
            <wp:docPr id="2" name="Grafik 2" descr="Logo Fudan University 1905" title="Logo Fud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615950"/>
                    </a:xfrm>
                    <a:prstGeom prst="rect">
                      <a:avLst/>
                    </a:prstGeom>
                    <a:noFill/>
                  </pic:spPr>
                </pic:pic>
              </a:graphicData>
            </a:graphic>
          </wp:inline>
        </w:drawing>
      </w:r>
    </w:p>
    <w:sectPr w:rsidR="00DD2BE9" w:rsidRPr="00DE4E10" w:rsidSect="00AC0802">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97" w:rsidRDefault="00AB7397">
      <w:pPr>
        <w:spacing w:after="0"/>
      </w:pPr>
      <w:r>
        <w:separator/>
      </w:r>
    </w:p>
    <w:p w:rsidR="00B0628E" w:rsidRDefault="00B0628E"/>
  </w:endnote>
  <w:endnote w:type="continuationSeparator" w:id="0">
    <w:p w:rsidR="00AB7397" w:rsidRDefault="00AB7397">
      <w:pPr>
        <w:spacing w:after="0"/>
      </w:pPr>
      <w:r>
        <w:continuationSeparator/>
      </w:r>
    </w:p>
    <w:p w:rsidR="00B0628E" w:rsidRDefault="00B0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UHH">
    <w:panose1 w:val="020B0502050302020203"/>
    <w:charset w:val="00"/>
    <w:family w:val="swiss"/>
    <w:pitch w:val="variable"/>
    <w:sig w:usb0="A00002FF" w:usb1="5000E0FB"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E3" w:rsidRDefault="00D023E3" w:rsidP="00D023E3">
    <w:pPr>
      <w:pStyle w:val="Fuzeile"/>
      <w:tabs>
        <w:tab w:val="clear" w:pos="9072"/>
        <w:tab w:val="right" w:pos="8932"/>
      </w:tabs>
      <w:rPr>
        <w:sz w:val="18"/>
        <w:szCs w:val="18"/>
      </w:rPr>
    </w:pPr>
  </w:p>
  <w:p w:rsidR="0006769F" w:rsidRDefault="0006769F" w:rsidP="003F7C47">
    <w:pPr>
      <w:pStyle w:val="Fuzeile"/>
      <w:tabs>
        <w:tab w:val="clear" w:pos="9072"/>
        <w:tab w:val="right" w:pos="893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97" w:rsidRDefault="00AB7397">
      <w:pPr>
        <w:spacing w:after="0"/>
      </w:pPr>
      <w:r>
        <w:separator/>
      </w:r>
    </w:p>
    <w:p w:rsidR="00B0628E" w:rsidRDefault="00B0628E"/>
  </w:footnote>
  <w:footnote w:type="continuationSeparator" w:id="0">
    <w:p w:rsidR="00AB7397" w:rsidRDefault="00AB7397">
      <w:pPr>
        <w:spacing w:after="0"/>
      </w:pPr>
      <w:r>
        <w:continuationSeparator/>
      </w:r>
    </w:p>
    <w:p w:rsidR="00B0628E" w:rsidRDefault="00B062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2" w:rsidRDefault="00AC0802">
    <w:pPr>
      <w:pStyle w:val="Kopfzeile"/>
    </w:pPr>
  </w:p>
  <w:p w:rsidR="00B0628E" w:rsidRDefault="00B062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9F" w:rsidRDefault="008F1413">
    <w:pPr>
      <w:pStyle w:val="Kopfzeile"/>
      <w:tabs>
        <w:tab w:val="clear" w:pos="4536"/>
        <w:tab w:val="clear" w:pos="9072"/>
      </w:tabs>
      <w:jc w:val="right"/>
    </w:pPr>
    <w:r>
      <w:t xml:space="preserve">Page </w:t>
    </w:r>
    <w:r>
      <w:fldChar w:fldCharType="begin"/>
    </w:r>
    <w:r>
      <w:instrText xml:space="preserve"> PAGE </w:instrText>
    </w:r>
    <w:r>
      <w:fldChar w:fldCharType="separate"/>
    </w:r>
    <w:r w:rsidR="00C20B04">
      <w:rPr>
        <w:noProof/>
      </w:rPr>
      <w:t>2</w:t>
    </w:r>
    <w:r>
      <w:fldChar w:fldCharType="end"/>
    </w:r>
    <w:r>
      <w:t>/2</w:t>
    </w:r>
  </w:p>
  <w:p w:rsidR="00B0628E" w:rsidRDefault="00B062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9F" w:rsidRDefault="0006769F">
    <w:pPr>
      <w:pStyle w:val="Kopfzeile"/>
      <w:tabs>
        <w:tab w:val="clear" w:pos="9072"/>
        <w:tab w:val="right" w:pos="8932"/>
      </w:tabs>
    </w:pPr>
  </w:p>
  <w:p w:rsidR="0006769F" w:rsidRDefault="0006769F">
    <w:pPr>
      <w:pStyle w:val="Kopfzeile"/>
      <w:tabs>
        <w:tab w:val="clear" w:pos="9072"/>
        <w:tab w:val="right" w:pos="89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CqdLrAvPw/CBvhplDL7aCbJSJxU5eEQnd3veFXePkgJbdZEIKAsJe7/JwjOokEck9Cg++IGIpyEKxJyEjxHjpA==" w:salt="4qFNMeDSmFrN/mwRi7Lol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F"/>
    <w:rsid w:val="0000208A"/>
    <w:rsid w:val="00034277"/>
    <w:rsid w:val="000472BD"/>
    <w:rsid w:val="0006769F"/>
    <w:rsid w:val="0009781D"/>
    <w:rsid w:val="00107FF6"/>
    <w:rsid w:val="001308D1"/>
    <w:rsid w:val="00176D26"/>
    <w:rsid w:val="00262867"/>
    <w:rsid w:val="00290F7A"/>
    <w:rsid w:val="002B597A"/>
    <w:rsid w:val="002C4775"/>
    <w:rsid w:val="002E4557"/>
    <w:rsid w:val="003B70BE"/>
    <w:rsid w:val="003B7848"/>
    <w:rsid w:val="003F7C47"/>
    <w:rsid w:val="004A294A"/>
    <w:rsid w:val="00516ED9"/>
    <w:rsid w:val="00523532"/>
    <w:rsid w:val="00571648"/>
    <w:rsid w:val="00666E91"/>
    <w:rsid w:val="006B5057"/>
    <w:rsid w:val="006B6218"/>
    <w:rsid w:val="00717FEE"/>
    <w:rsid w:val="007312F4"/>
    <w:rsid w:val="0078779E"/>
    <w:rsid w:val="0086565C"/>
    <w:rsid w:val="00881084"/>
    <w:rsid w:val="008A2208"/>
    <w:rsid w:val="008B180C"/>
    <w:rsid w:val="008D68F6"/>
    <w:rsid w:val="008F1413"/>
    <w:rsid w:val="00A351F3"/>
    <w:rsid w:val="00AB7397"/>
    <w:rsid w:val="00AC0802"/>
    <w:rsid w:val="00AF2974"/>
    <w:rsid w:val="00B0628E"/>
    <w:rsid w:val="00B7315D"/>
    <w:rsid w:val="00B82797"/>
    <w:rsid w:val="00BD41FE"/>
    <w:rsid w:val="00C0693C"/>
    <w:rsid w:val="00C15CF4"/>
    <w:rsid w:val="00C20B04"/>
    <w:rsid w:val="00C34910"/>
    <w:rsid w:val="00C53831"/>
    <w:rsid w:val="00CA41C8"/>
    <w:rsid w:val="00CE0BDF"/>
    <w:rsid w:val="00D023E3"/>
    <w:rsid w:val="00D2772F"/>
    <w:rsid w:val="00DD2BE9"/>
    <w:rsid w:val="00DE4E10"/>
    <w:rsid w:val="00E028B8"/>
    <w:rsid w:val="00E4694E"/>
    <w:rsid w:val="00E66470"/>
    <w:rsid w:val="00E67BC8"/>
    <w:rsid w:val="00E75757"/>
    <w:rsid w:val="00E818E6"/>
    <w:rsid w:val="00EF6745"/>
    <w:rsid w:val="00F04AE7"/>
    <w:rsid w:val="00F208F9"/>
    <w:rsid w:val="00F3162C"/>
    <w:rsid w:val="00F70176"/>
    <w:rsid w:val="00FE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39345AE-0C7D-4AD2-B474-A198592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20"/>
    </w:pPr>
    <w:rPr>
      <w:rFonts w:ascii="TheSans UHH" w:eastAsia="TheSans UHH" w:hAnsi="TheSans UHH" w:cs="TheSans UHH"/>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heSans UHH" w:eastAsia="TheSans UHH" w:hAnsi="TheSans UHH" w:cs="TheSans UHH"/>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ascii="TheSans UHH" w:eastAsia="TheSans UHH" w:hAnsi="TheSans UHH" w:cs="TheSans UHH"/>
      <w:color w:val="000000"/>
      <w:sz w:val="22"/>
      <w:szCs w:val="22"/>
      <w:u w:color="000000"/>
    </w:rPr>
  </w:style>
  <w:style w:type="paragraph" w:customStyle="1" w:styleId="Betreff">
    <w:name w:val="Betreff"/>
    <w:pPr>
      <w:spacing w:after="680"/>
    </w:pPr>
    <w:rPr>
      <w:rFonts w:ascii="TheSans UHH" w:eastAsia="TheSans UHH" w:hAnsi="TheSans UHH" w:cs="TheSans UHH"/>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D023E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3E3"/>
    <w:rPr>
      <w:rFonts w:ascii="Tahoma" w:eastAsia="TheSans UHH" w:hAnsi="Tahoma" w:cs="Tahoma"/>
      <w:color w:val="000000"/>
      <w:sz w:val="16"/>
      <w:szCs w:val="16"/>
      <w:u w:color="000000"/>
    </w:rPr>
  </w:style>
  <w:style w:type="table" w:styleId="Tabellenraster">
    <w:name w:val="Table Grid"/>
    <w:basedOn w:val="NormaleTabelle"/>
    <w:uiPriority w:val="59"/>
    <w:rsid w:val="00D0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D2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CF63-E7E0-4F26-AC2B-E4DA6C78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Hamburg</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Frömming, Jan</dc:creator>
  <cp:lastModifiedBy>Lang, Carina</cp:lastModifiedBy>
  <cp:revision>24</cp:revision>
  <dcterms:created xsi:type="dcterms:W3CDTF">2021-03-03T12:24:00Z</dcterms:created>
  <dcterms:modified xsi:type="dcterms:W3CDTF">2021-05-11T07:45:00Z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mk (author-date)</vt:lpwstr>
  </property>
</Properties>
</file>